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margin" w:tblpXSpec="center" w:tblpY="311"/>
        <w:bidiVisual/>
        <w:tblW w:w="7798" w:type="dxa"/>
        <w:tblLook w:val="04A0" w:firstRow="1" w:lastRow="0" w:firstColumn="1" w:lastColumn="0" w:noHBand="0" w:noVBand="1"/>
      </w:tblPr>
      <w:tblGrid>
        <w:gridCol w:w="2075"/>
        <w:gridCol w:w="584"/>
        <w:gridCol w:w="533"/>
        <w:gridCol w:w="731"/>
        <w:gridCol w:w="10"/>
        <w:gridCol w:w="2103"/>
        <w:gridCol w:w="513"/>
        <w:gridCol w:w="518"/>
        <w:gridCol w:w="731"/>
      </w:tblGrid>
      <w:tr>
        <w:tc>
          <w:tcPr>
            <w:tcW w:w="7798" w:type="dxa"/>
            <w:gridSpan w:val="9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 w:colFirst="0" w:colLast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 بندی دکتری سیاست</w:t>
            </w:r>
          </w:p>
        </w:tc>
      </w:tr>
      <w:bookmarkEnd w:id="0"/>
      <w:tr>
        <w:trPr>
          <w:trHeight w:val="234"/>
        </w:trPr>
        <w:tc>
          <w:tcPr>
            <w:tcW w:w="2075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1</w:t>
            </w:r>
          </w:p>
        </w:tc>
        <w:tc>
          <w:tcPr>
            <w:tcW w:w="1848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13" w:type="dxa"/>
            <w:gridSpan w:val="2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2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trHeight w:val="201"/>
        </w:trPr>
        <w:tc>
          <w:tcPr>
            <w:tcW w:w="2075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13" w:type="dxa"/>
            <w:gridSpan w:val="2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193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آمار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حياتي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پيشرفته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عوامل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اجتماعي،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فرهنگي،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اقتصادي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محيطي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تعيين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كننده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141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خرد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امنيت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غذايي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توسعه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171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كلان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خانوار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45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تغذیه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پیشرفته(غیرمرتبط)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تحليل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پيشرفته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سياستهاي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6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زيست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نشانگرها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نمايه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در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سلامت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بيما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تاريخ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تفكر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در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حوزه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7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انتخاب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غذايي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رفتارهاي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اي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کارگاه </w:t>
            </w:r>
            <w:r>
              <w:rPr>
                <w:rFonts w:cs="B Titr"/>
                <w:sz w:val="14"/>
                <w:szCs w:val="14"/>
                <w:rtl/>
              </w:rPr>
              <w:t>روش تدر</w:t>
            </w:r>
            <w:r>
              <w:rPr>
                <w:rFonts w:cs="B Titr" w:hint="cs"/>
                <w:sz w:val="14"/>
                <w:szCs w:val="14"/>
                <w:rtl/>
              </w:rPr>
              <w:t>ی</w:t>
            </w:r>
            <w:r>
              <w:rPr>
                <w:rFonts w:cs="B Titr" w:hint="eastAsia"/>
                <w:sz w:val="14"/>
                <w:szCs w:val="14"/>
                <w:rtl/>
              </w:rPr>
              <w:t>س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7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اصول و مبانی مدیریت خطر حوادث و بلایا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7"/>
        </w:trPr>
        <w:tc>
          <w:tcPr>
            <w:tcW w:w="20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4" w:space="0" w:color="000000" w:themeColor="text1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6"/>
        </w:trPr>
        <w:tc>
          <w:tcPr>
            <w:tcW w:w="2075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858" w:type="dxa"/>
            <w:gridSpan w:val="4"/>
            <w:shd w:val="clear" w:color="auto" w:fill="auto"/>
            <w:vAlign w:val="center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76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  <w:tr>
        <w:trPr>
          <w:trHeight w:val="259"/>
        </w:trPr>
        <w:tc>
          <w:tcPr>
            <w:tcW w:w="2075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3</w:t>
            </w:r>
          </w:p>
        </w:tc>
        <w:tc>
          <w:tcPr>
            <w:tcW w:w="1848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13" w:type="dxa"/>
            <w:gridSpan w:val="2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4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trHeight w:val="287"/>
        </w:trPr>
        <w:tc>
          <w:tcPr>
            <w:tcW w:w="2075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3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13" w:type="dxa"/>
            <w:gridSpan w:val="2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264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تحليل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سياستهاي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برنامه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ريزي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مديريت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برنامه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تغذيه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4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معرفي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تفهيم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سياستهاي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مبتني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بر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علم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مخاطبين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 سیاسی غذا و تغذیه</w:t>
            </w:r>
          </w:p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133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فرآيندهاي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سياستگذاري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غذا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ارزيابي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وضعيت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جامعه(غیرمرتبط)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1"/>
        </w:trPr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برنامه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ريزي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و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مديريت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راهبردي</w:t>
            </w:r>
            <w:r>
              <w:rPr>
                <w:rFonts w:cs="B Titr"/>
                <w:sz w:val="14"/>
                <w:szCs w:val="14"/>
                <w:rtl/>
              </w:rPr>
              <w:t xml:space="preserve"> (</w:t>
            </w:r>
            <w:r>
              <w:rPr>
                <w:rFonts w:cs="B Titr" w:hint="cs"/>
                <w:sz w:val="14"/>
                <w:szCs w:val="14"/>
                <w:rtl/>
              </w:rPr>
              <w:t>استراتژيك</w:t>
            </w:r>
            <w:r>
              <w:rPr>
                <w:rFonts w:cs="B Titr"/>
                <w:sz w:val="14"/>
                <w:szCs w:val="14"/>
                <w:rtl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تحليل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اقتصادي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پروژه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هاي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تغذيه</w:t>
            </w:r>
            <w:r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اي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151"/>
        </w:trPr>
        <w:tc>
          <w:tcPr>
            <w:tcW w:w="20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8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13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157"/>
        </w:trPr>
        <w:tc>
          <w:tcPr>
            <w:tcW w:w="20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848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>
        <w:trPr>
          <w:trHeight w:val="291"/>
        </w:trPr>
        <w:tc>
          <w:tcPr>
            <w:tcW w:w="20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5</w:t>
            </w:r>
          </w:p>
        </w:tc>
        <w:tc>
          <w:tcPr>
            <w:tcW w:w="1848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875" w:type="dxa"/>
            <w:gridSpan w:val="5"/>
            <w:vMerge w:val="restart"/>
            <w:shd w:val="clear" w:color="auto" w:fill="auto"/>
          </w:tcPr>
          <w:p>
            <w:pPr>
              <w:bidi/>
              <w:spacing w:line="259" w:lineRule="auto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دانشجویان ملزم هستند تا تصویب پروپوزال در کار گاه های مورد نیاز شرکت نمایند.</w:t>
            </w:r>
          </w:p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>کارگاه های مورد نیاز:  روش تدریس  - اصول مقاله نویسی انگلیسی</w:t>
            </w:r>
          </w:p>
        </w:tc>
      </w:tr>
      <w:tr>
        <w:trPr>
          <w:trHeight w:val="265"/>
        </w:trPr>
        <w:tc>
          <w:tcPr>
            <w:tcW w:w="20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پایان نامه</w:t>
            </w:r>
          </w:p>
        </w:tc>
        <w:tc>
          <w:tcPr>
            <w:tcW w:w="1848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875" w:type="dxa"/>
            <w:gridSpan w:val="5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281"/>
        </w:trPr>
        <w:tc>
          <w:tcPr>
            <w:tcW w:w="20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848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875" w:type="dxa"/>
            <w:gridSpan w:val="5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</w:tbl>
    <w:p>
      <w:pPr>
        <w:tabs>
          <w:tab w:val="left" w:pos="2230"/>
        </w:tabs>
        <w:bidi/>
        <w:spacing w:after="160" w:line="259" w:lineRule="auto"/>
        <w:rPr>
          <w:rFonts w:ascii="IranNastaliq" w:hAnsi="IranNastaliq" w:cs="IranNastaliq"/>
          <w:b/>
          <w:bCs/>
          <w:color w:val="2E74B5" w:themeColor="accent1" w:themeShade="BF"/>
          <w:sz w:val="12"/>
          <w:szCs w:val="12"/>
          <w:rtl/>
          <w:lang w:bidi="fa-IR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E781A4-A9D0-44F4-A396-C421C81E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table" w:customStyle="1" w:styleId="TableGrid1">
    <w:name w:val="Table Grid1"/>
    <w:basedOn w:val="TableNormal"/>
    <w:next w:val="TableGrid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2025-11-05T07:56:00Z</dcterms:created>
  <dcterms:modified xsi:type="dcterms:W3CDTF">2025-11-05T09:12:00Z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