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jc w:val="center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  <w:r>
        <w:rPr>
          <w:rFonts w:ascii="Tahoma" w:eastAsia="Times New Roman" w:hAnsi="Tahoma" w:cs="B Titr" w:hint="cs"/>
          <w:b/>
          <w:bCs/>
          <w:color w:val="FF0000"/>
          <w:sz w:val="28"/>
          <w:szCs w:val="28"/>
          <w:rtl/>
          <w:lang w:bidi="fa-IR"/>
        </w:rPr>
        <w:t>اولویت های پژوهشی دانشگاه</w:t>
      </w:r>
    </w:p>
    <w:p>
      <w:pPr>
        <w:bidi/>
        <w:spacing w:before="100" w:beforeAutospacing="1" w:after="100" w:afterAutospacing="1" w:line="240" w:lineRule="auto"/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بیماریهای واگیر</w:t>
      </w:r>
    </w:p>
    <w:p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tbl>
      <w:tblPr>
        <w:tblpPr w:leftFromText="45" w:rightFromText="45" w:vertAnchor="text" w:tblpXSpec="right" w:tblpYSpec="center"/>
        <w:bidiVisual/>
        <w:tblW w:w="4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6415"/>
      </w:tblGrid>
      <w:tr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15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توسعه روشهای درمانی جدید در بیماریهای واگیر</w:t>
            </w:r>
          </w:p>
        </w:tc>
      </w:tr>
      <w:tr>
        <w:trPr>
          <w:tblCellSpacing w:w="15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غربالگری، اپیدمیولوژی، پیشگیری و مراقبت در مقاومت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‌</w:t>
            </w: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های میکروبی و عفونت‌های بیمارستانی</w:t>
            </w:r>
          </w:p>
        </w:tc>
      </w:tr>
      <w:tr>
        <w:trPr>
          <w:tblCellSpacing w:w="15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غربالگری، اپیدمیولوژی، پیشگیری و مراقبت در بیماری‌های نوپدید و بازپدید</w:t>
            </w:r>
          </w:p>
        </w:tc>
      </w:tr>
      <w:tr>
        <w:trPr>
          <w:tblCellSpacing w:w="15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غربالگری، اپیدمیولوژی، پیشگیری و مراقبت در عفونت‌های مرتبط با رفتاریهای پرخطر با تاکید بر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HIV</w:t>
            </w: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 </w:t>
            </w:r>
          </w:p>
        </w:tc>
      </w:tr>
      <w:tr>
        <w:trPr>
          <w:tblCellSpacing w:w="15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غربالگری، اپیدمیولوژی، پیشگیری و مراقبت در بیماری‌های دستگاه گوارش با تاکید بر هپاتیت و سیروز کبدی</w:t>
            </w:r>
          </w:p>
        </w:tc>
      </w:tr>
      <w:tr>
        <w:trPr>
          <w:tblCellSpacing w:w="15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6</w:t>
            </w:r>
          </w:p>
        </w:tc>
        <w:tc>
          <w:tcPr>
            <w:tcW w:w="3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روشهای تشخیصی آزمایشگاهی برای بیماری‌های واگیر</w:t>
            </w:r>
          </w:p>
        </w:tc>
      </w:tr>
    </w:tbl>
    <w:p>
      <w:pPr>
        <w:bidi/>
      </w:pPr>
    </w:p>
    <w:p>
      <w:pPr>
        <w:bidi/>
      </w:pPr>
    </w:p>
    <w:p>
      <w:pPr>
        <w:bidi/>
      </w:pPr>
    </w:p>
    <w:p>
      <w:pPr>
        <w:bidi/>
      </w:pPr>
    </w:p>
    <w:p>
      <w:pPr>
        <w:bidi/>
      </w:pPr>
    </w:p>
    <w:p>
      <w:pPr>
        <w:bidi/>
      </w:pPr>
    </w:p>
    <w:p>
      <w:pPr>
        <w:bidi/>
      </w:pPr>
    </w:p>
    <w:p>
      <w:pPr>
        <w:bidi/>
      </w:pPr>
    </w:p>
    <w:p>
      <w:pPr>
        <w:bidi/>
      </w:pPr>
    </w:p>
    <w:p>
      <w:pPr>
        <w:bidi/>
        <w:rPr>
          <w:rStyle w:val="Strong"/>
          <w:rFonts w:ascii="Tahoma" w:hAnsi="Tahoma" w:cs="Tahoma"/>
        </w:rPr>
      </w:pPr>
      <w:r>
        <w:rPr>
          <w:rStyle w:val="Strong"/>
          <w:rFonts w:ascii="Tahoma" w:hAnsi="Tahoma" w:cs="Tahoma"/>
          <w:rtl/>
        </w:rPr>
        <w:t>بیماریهای غیر واگیر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6421"/>
      </w:tblGrid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پیشگیری، اپيــدميولوژي، درمان و بازتوانی بیماری‌های قلبی- عروقی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اپیدمیولوژی، پيشگيري، تشخيص زودهنگام، درمان و بازتواني در سرطان‌های شایع</w:t>
            </w: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br/>
              <w:t>(معده، کولورکتال، مری، پوست، ریه، پستان، تخمدان، مثانه، پروستات، خون و مغز)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پیشگیری و اپیدمیولوژی و مراقبت در بیماری‌های شایع متابولیک و غدد ( دیابت، چاقی و کبد چرب)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پیشگیری، اپيـدميولوژي و درمان و بازتوانی سکته مغزی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پیشگیری، اپيدميولوژي و درمان و بازتوانی بیماری‌های التهابی راههای هوایی (آسم و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COPD</w:t>
            </w: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)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6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اختلالات رشد، تکامل و تغذیه در كودكان و نوزادان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7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كاهش ناتواني و عوارض اختلالات باروري و درمان ناباروری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8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پیشگیری و مراقبت از حاملگیهای پرخطر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9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غربالگري و پایش روند بيماريهاي غيرواگير با تاکید بر بیماریهای کلیوی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10</w:t>
            </w:r>
          </w:p>
        </w:tc>
        <w:tc>
          <w:tcPr>
            <w:tcW w:w="3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ناهنجاری‌های ماسکلواسکلتال با تاکید بر کمردرد و دیسکهای گردنی</w:t>
            </w:r>
          </w:p>
        </w:tc>
      </w:tr>
    </w:tbl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Style w:val="Strong"/>
          <w:rFonts w:ascii="Tahoma" w:hAnsi="Tahoma" w:cs="Tahoma"/>
          <w:rtl/>
        </w:rPr>
      </w:pPr>
    </w:p>
    <w:p>
      <w:pPr>
        <w:bidi/>
        <w:rPr>
          <w:rStyle w:val="Strong"/>
          <w:rFonts w:ascii="Tahoma" w:hAnsi="Tahoma" w:cs="Tahoma"/>
          <w:rtl/>
        </w:rPr>
      </w:pPr>
    </w:p>
    <w:p>
      <w:pPr>
        <w:bidi/>
        <w:rPr>
          <w:rStyle w:val="Strong"/>
          <w:rFonts w:ascii="Tahoma" w:hAnsi="Tahoma" w:cs="Tahoma"/>
          <w:rtl/>
        </w:rPr>
      </w:pPr>
      <w:r>
        <w:rPr>
          <w:rStyle w:val="Strong"/>
          <w:rFonts w:ascii="Tahoma" w:hAnsi="Tahoma" w:cs="Tahoma"/>
          <w:rtl/>
        </w:rPr>
        <w:lastRenderedPageBreak/>
        <w:t>تحقیقات نظام سلامت</w:t>
      </w:r>
    </w:p>
    <w:p>
      <w:pPr>
        <w:bidi/>
        <w:rPr>
          <w:rStyle w:val="Strong"/>
          <w:rFonts w:ascii="Tahoma" w:hAnsi="Tahoma" w:cs="Tahoma"/>
          <w:rtl/>
        </w:rPr>
      </w:pP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6426"/>
      </w:tblGrid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ارائه الگوهای مناسب در مدیریت نظام سلامت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اخلاق حرفه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‌</w:t>
            </w: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ای در نظام سلامت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اطلاعات سلامت (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health information</w:t>
            </w: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)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ارايــه الگوهــاي مناسـب در اقتصاد نظام سلامت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ارائه نظام های دیده بانی و پایش سیستم سلامت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6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آینده پژوهی و پژوهش عملیاتی در نظام سلامت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7</w:t>
            </w:r>
          </w:p>
        </w:tc>
        <w:tc>
          <w:tcPr>
            <w:tcW w:w="3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روشهای توسعه و ارتقاء آموزش در علوم پزشکی، مدیریت آموزشی و برنامه‌ریزی درسی</w:t>
            </w:r>
          </w:p>
        </w:tc>
      </w:tr>
    </w:tbl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spacing w:after="24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علوم پایه</w:t>
      </w:r>
    </w:p>
    <w:p>
      <w:pPr>
        <w:bidi/>
        <w:spacing w:after="240" w:line="240" w:lineRule="auto"/>
        <w:rPr>
          <w:rFonts w:ascii="Tahoma" w:eastAsia="Times New Roman" w:hAnsi="Tahoma" w:cs="Tahoma"/>
          <w:b/>
          <w:bCs/>
          <w:sz w:val="16"/>
          <w:szCs w:val="16"/>
        </w:rPr>
      </w:pP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6417"/>
      </w:tblGrid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سلولهای بنیادی، مهندسی بافت و پزشکی بازساختی و زیست مواد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مطالعات سلولی- مولكولي و ايمونولوژيك در زمينــه توليد واكسن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ایمونوتراپی بیماری‌های شایع با استفاده از ژن درمانی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حذف و کنترل آلودگی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‌</w:t>
            </w: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های نوپدید از محیط 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3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نانوفیبرها، نانوذرات و اسکافولدها (در طب بازساختی، مهندسی بافت و دارورسانی)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6</w:t>
            </w:r>
          </w:p>
        </w:tc>
        <w:tc>
          <w:tcPr>
            <w:tcW w:w="3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درد و مكانيسمهاي كاهش آن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ahoma" w:eastAsia="Times New Roman" w:hAnsi="Tahoma" w:cs="Tahoma"/>
          <w:sz w:val="24"/>
          <w:szCs w:val="24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rtl/>
        </w:rPr>
        <w:t>علوم دارویی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6481"/>
      </w:tblGrid>
      <w:tr>
        <w:trPr>
          <w:tblCellSpacing w:w="0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4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4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راهكارهاي بهينه‌سازي تجویز و مصرف منطقی داروها با تاکید بر آنتی بیوتیک‌ها</w:t>
            </w:r>
          </w:p>
        </w:tc>
      </w:tr>
      <w:tr>
        <w:trPr>
          <w:tblCellSpacing w:w="0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4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توسعه فناوري‌هاي نوين برای دارورساني</w:t>
            </w:r>
          </w:p>
        </w:tc>
      </w:tr>
      <w:tr>
        <w:trPr>
          <w:tblCellSpacing w:w="0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4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تولید آنتی بادی‌های منوکلونال و پروتئین‌های نوترکیب (جنبه‌های تولیدی و پروتکل درمانی) و واکسن</w:t>
            </w:r>
          </w:p>
        </w:tc>
      </w:tr>
      <w:tr>
        <w:trPr>
          <w:tblCellSpacing w:w="0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4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توسعه و بهربرداری پژوهشی از نظام ثبت عوارض و خطاهاي دارويي</w:t>
            </w:r>
          </w:p>
        </w:tc>
      </w:tr>
      <w:tr>
        <w:trPr>
          <w:tblCellSpacing w:w="0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4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پیشگیری، تشخیص و مراقبت از مسمومیتها و سوء مصرف داروها </w:t>
            </w:r>
          </w:p>
        </w:tc>
      </w:tr>
      <w:tr>
        <w:trPr>
          <w:tblCellSpacing w:w="0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7</w:t>
            </w:r>
          </w:p>
        </w:tc>
        <w:tc>
          <w:tcPr>
            <w:tcW w:w="4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مکانیسم سلولی مولکولی اثربخشی فرآورده‌های دارویی، ترکیبات بیولوژیک </w:t>
            </w:r>
          </w:p>
        </w:tc>
      </w:tr>
      <w:tr>
        <w:trPr>
          <w:tblCellSpacing w:w="0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8</w:t>
            </w:r>
          </w:p>
        </w:tc>
        <w:tc>
          <w:tcPr>
            <w:tcW w:w="4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بررسي كيفيت، ایمنی و کنترل فیزیک و شیمیایی و میکروبی داروها، ‌داروهای سنتی، غذا و فرآورده‌های آرایشی و بهداشتی </w:t>
            </w:r>
          </w:p>
        </w:tc>
      </w:tr>
    </w:tbl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  <w:r>
        <w:rPr>
          <w:rFonts w:ascii="Tahoma" w:eastAsia="Times New Roman" w:hAnsi="Tahoma" w:cs="Tahoma"/>
          <w:sz w:val="24"/>
          <w:szCs w:val="24"/>
        </w:rPr>
        <w:t> </w:t>
      </w:r>
    </w:p>
    <w:p>
      <w:pPr>
        <w:bidi/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sz w:val="24"/>
          <w:szCs w:val="24"/>
        </w:rPr>
        <w:br/>
      </w:r>
    </w:p>
    <w:p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p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فنآوری و تجهیزات پزشکی</w:t>
      </w:r>
    </w:p>
    <w:p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6340"/>
      </w:tblGrid>
      <w:tr>
        <w:trPr>
          <w:tblCellSpacing w:w="0" w:type="dxa"/>
        </w:trPr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فناوری‌ها و تجهیزات پزشکی بازساختی و نانوفناوری </w:t>
            </w:r>
          </w:p>
        </w:tc>
      </w:tr>
      <w:tr>
        <w:trPr>
          <w:tblCellSpacing w:w="0" w:type="dxa"/>
        </w:trPr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فناوری‌های همگرا و فناوری‌های نوين در غربالگري، تشخيص زودرس، توانبخشی و درمان بيماريها</w:t>
            </w:r>
          </w:p>
        </w:tc>
      </w:tr>
      <w:tr>
        <w:trPr>
          <w:tblCellSpacing w:w="0" w:type="dxa"/>
        </w:trPr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ساخت و ارتقاء كيفيـت و تجاری سازی مواد، تجهيزات پزشكي و تست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‌</w:t>
            </w: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‌های آزمایشگاهی</w:t>
            </w:r>
          </w:p>
        </w:tc>
      </w:tr>
      <w:tr>
        <w:trPr>
          <w:tblCellSpacing w:w="0" w:type="dxa"/>
        </w:trPr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توسعه زیرساخت‌های فناورانه الکترونیکی کردن فرایند های بیمارستانی و سلامت</w:t>
            </w:r>
          </w:p>
        </w:tc>
      </w:tr>
      <w:tr>
        <w:trPr>
          <w:tblCellSpacing w:w="0" w:type="dxa"/>
        </w:trPr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تولید و بهینه سازی ابزارهای کمکی برای توانمند‌سازی سالمندان</w:t>
            </w:r>
          </w:p>
        </w:tc>
      </w:tr>
    </w:tbl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علوم بهداشتی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6294"/>
      </w:tblGrid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ارزیابی عوامل خطر در بیماری‌های اولویت‌دار (اعتیاد، تغذیه، آلودگی هوا و محیط زیست)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توسعه مراقبت‌های بهداشتی اولیه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ارايه الگوهاي مناسب براي ارتقـاء شيوه‌هاي زندگي سالم با تاكيد بـر گروههاي آسيب پذير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ایمنی شغلی و ارگونومی 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3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مهارتهای رفتاری، ارتباطی و آموزش و ارتقاء سلامت و مداخلات آموزشی 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6</w:t>
            </w:r>
          </w:p>
        </w:tc>
        <w:tc>
          <w:tcPr>
            <w:tcW w:w="3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مخاطرات سلامت ناشی از خشک شدن دریاچه ارومیه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  <w:bookmarkStart w:id="0" w:name="_GoBack"/>
      <w:bookmarkEnd w:id="0"/>
    </w:p>
    <w:p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علوم غذا و تغذیه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6288"/>
      </w:tblGrid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ارتقاء و امنيت غذايي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روشهـاي تـرويج الگوها، استانداردها و آموزش رفتارهای تغذيه‌اي مناسب و حفظ الصحه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تغذیه درمانی پزشکی در بیماری‌های مزمن و غیرواگیر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كنترل کیفیت مواد خوراکی و آشامیدنی</w:t>
            </w:r>
          </w:p>
        </w:tc>
      </w:tr>
      <w:tr>
        <w:trPr>
          <w:tblCellSpacing w:w="0" w:type="dxa"/>
        </w:trPr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3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تدوین و توسعه خطوط راهنما برای تغذیه در بیمارستان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spacing w:after="24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دندانپزشکی</w:t>
      </w:r>
    </w:p>
    <w:p>
      <w:pPr>
        <w:bidi/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6447"/>
      </w:tblGrid>
      <w:tr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بهداشت دهان و دندان و اقدامات پیشگیری از پوسیدگی های دندانی</w:t>
            </w:r>
          </w:p>
        </w:tc>
      </w:tr>
      <w:tr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فناوری‌های نوين در دندانپزشکی با تاکید بر فناوری نانو، نانوذرات، بایومتریال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‌</w:t>
            </w: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ها و اپلیانس‌های داخل دهانی</w:t>
            </w:r>
          </w:p>
        </w:tc>
      </w:tr>
      <w:tr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مطالعات سلولی مولکولی و پزشکی بازساختی در دندانپزشکی</w:t>
            </w:r>
          </w:p>
        </w:tc>
      </w:tr>
    </w:tbl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spacing w:after="24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سلامت روان و مولفه های اجتماعی موثر بر سلامت</w:t>
      </w:r>
    </w:p>
    <w:p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6462"/>
      </w:tblGrid>
      <w:tr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آموزش همگانی در راستای سلامت روان</w:t>
            </w:r>
          </w:p>
        </w:tc>
      </w:tr>
      <w:tr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مراقبت در بیماری‌های شایع روانپزشکی با تاکید بر افسردگی و اختلالات اضطرابی، اختلال بیش فعالی و اوتیسم</w:t>
            </w:r>
          </w:p>
        </w:tc>
      </w:tr>
      <w:tr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اپيدميولوژي، اتيولوژي و كنترل رفتارهاي پرخطر با تاكيد بر آموزش و تغيير نگرش</w:t>
            </w:r>
          </w:p>
        </w:tc>
      </w:tr>
      <w:tr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اتيولوژي، اپيدميولوژي و كنترل بزهكاري و اختلالات رفتاري با تاكيد بر خشونت </w:t>
            </w:r>
          </w:p>
        </w:tc>
      </w:tr>
      <w:tr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5</w:t>
            </w:r>
          </w:p>
        </w:tc>
        <w:tc>
          <w:tcPr>
            <w:tcW w:w="3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تاثیر مسایل روانی، فرهنگی و اجتماعی بر عملکرد تحصیلی </w:t>
            </w:r>
          </w:p>
        </w:tc>
      </w:tr>
      <w:tr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6</w:t>
            </w:r>
          </w:p>
        </w:tc>
        <w:tc>
          <w:tcPr>
            <w:tcW w:w="3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ارتقاء سلامت روان و نقش مولفه‌های قانونی و اجتماعی (درآمد، فرهنگ، سواد، آموزش، جنسیت) بر سلامتی</w:t>
            </w:r>
          </w:p>
        </w:tc>
      </w:tr>
    </w:tbl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  <w:rtl/>
        </w:rPr>
        <w:t>حوادث و سوانح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6402"/>
      </w:tblGrid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اپیدمیولوژی و پیشگیری از سوانح ترافیکی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اپیدمیولوژی و پیشگیری از سوانح با تاکید بر سوختگی، سقوط و مسمومیت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 ارزیابی بار اقتصادی حوادث و سوانح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3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مداخلات مـوثر جهـت مقابلـه بـا حوادث غير‌مترقبه </w:t>
            </w:r>
          </w:p>
        </w:tc>
      </w:tr>
    </w:tbl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>
      <w:pPr>
        <w:bidi/>
        <w:spacing w:after="24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ahoma" w:eastAsia="Times New Roman" w:hAnsi="Tahoma" w:cs="Tahoma"/>
          <w:b/>
          <w:bCs/>
          <w:sz w:val="24"/>
          <w:szCs w:val="24"/>
          <w:rtl/>
        </w:rPr>
        <w:t>سالمندی</w:t>
      </w:r>
    </w:p>
    <w:p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tblpXSpec="right" w:tblpYSpec="center"/>
        <w:bidiVisual/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432"/>
      </w:tblGrid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رتبه اولویت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عناوين اولويت هاي پژوهشي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1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سبک زندگی،کیفیت زندگی و سلامت روان سالمندان 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2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مراقبت و مدیریت در اختلالات جسمی (با تاکید بر استئوپروز) و روانی شایع در سالمندی 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3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اختلالات شناختی شایع با تاکید بر پارکینسون، آلزایمر، دمانس </w:t>
            </w:r>
          </w:p>
        </w:tc>
      </w:tr>
      <w:tr>
        <w:trPr>
          <w:tblCellSpacing w:w="0" w:type="dxa"/>
        </w:trPr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>4</w:t>
            </w:r>
          </w:p>
        </w:tc>
        <w:tc>
          <w:tcPr>
            <w:tcW w:w="3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rtl/>
              </w:rPr>
              <w:t xml:space="preserve">طراحی و آینده نگاری نظام ارائه خدمات سلامت مبتنی بر جمعیت سالمند </w:t>
            </w:r>
          </w:p>
        </w:tc>
      </w:tr>
    </w:tbl>
    <w:p>
      <w:pPr>
        <w:bidi/>
      </w:pPr>
    </w:p>
    <w:sectPr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938790-AEE4-49C8-9A85-F7F9D6A6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2021-05-29T06:42:00Z</dcterms:created>
  <dcterms:modified xsi:type="dcterms:W3CDTF">2021-05-29T06:56:00Z</dcterms:modified>
</cp:coreProperties>
</file>